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A4" w:rsidRPr="00F64629" w:rsidRDefault="00F64629" w:rsidP="00F64629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6462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VASOACTIVE AGENT EXPOSURE PRIOR TO ACUTE MECHANICAL CIRCULATORY SUPPORT FOR CARDIOGENIC SHOCK IS ASSOCIATED WITH END ORGAN DYSFUNCTION AND MORTALITY</w:t>
      </w:r>
    </w:p>
    <w:p w:rsidR="00F64629" w:rsidRDefault="00D717A4" w:rsidP="00F64629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6462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A. Razavi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, K. Morine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, M. Esposito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, S. Annamalai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, C. Davila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, R. Pedicini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, L. Jorde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</w:p>
    <w:p w:rsidR="00F64629" w:rsidRDefault="00D717A4" w:rsidP="00F64629">
      <w:pP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</w:pP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K. Gobeil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, J. Hernandez-Montfort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, N. Kapur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</w:p>
    <w:p w:rsidR="00F64629" w:rsidRDefault="00D717A4" w:rsidP="00F64629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Tufts Medical Center, Boston, MA, USA</w:t>
      </w:r>
    </w:p>
    <w:p w:rsidR="00D717A4" w:rsidRDefault="00D717A4" w:rsidP="00F64629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6462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Baystate Medical Center, Springfield, MA, USA</w:t>
      </w:r>
    </w:p>
    <w:p w:rsidR="00F64629" w:rsidRPr="00F64629" w:rsidRDefault="00F64629" w:rsidP="00F64629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F64629" w:rsidRDefault="00D717A4" w:rsidP="00C93637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6462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Prior to initiating acute mechanical circulatory support (AMCS) for cardiogenic shock (CS), vasoactive agents are used for hemodynamic support to avert multi-system dysfunction or </w:t>
      </w:r>
      <w:proofErr w:type="spellStart"/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hemo</w:t>
      </w:r>
      <w:proofErr w:type="spellEnd"/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-metabolic shock. Our goal was to define the relationship between vasoactive agents and clinical outcomes.</w:t>
      </w:r>
    </w:p>
    <w:p w:rsidR="00F64629" w:rsidRDefault="00D717A4" w:rsidP="00C93637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6462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Method: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We retrospectively analyzed clinical data and vasoactive agent use prior to AMCS for CS for pts (n=140) between 2012-2016 who received VA-ECMO (n=59) or </w:t>
      </w:r>
      <w:proofErr w:type="spellStart"/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Impella</w:t>
      </w:r>
      <w:proofErr w:type="spellEnd"/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(n=81).</w:t>
      </w:r>
    </w:p>
    <w:p w:rsidR="00F64629" w:rsidRDefault="00D717A4" w:rsidP="00C93637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6462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Results: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The most common first line agents were norepinephrine, dobutamine and milrinone. Compared to VA-ECMO, </w:t>
      </w:r>
      <w:proofErr w:type="spellStart"/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Impella</w:t>
      </w:r>
      <w:proofErr w:type="spellEnd"/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pts more frequently received dobutamine (70 vs. 31%, all comparisons p&lt;0.05) and less frequently received phenylephrine (23 vs. 50%) or norepinephrine (63 vs. 89%). Survivors were treated with fewer vasoactive agents (1.3±1.1 vs 2.2±1.3; A). Compared to 0-1 agents, use of ≥2 agents correlated with a higher Cr (2.1±1.3 vs. 1.4±0.6 mg/dl) and higher AST (1265±3185 vs. 331±1034 IU/L). Use of ≥2 agents correlated with a higher RA/PCWP ratio (0.78±0.25 vs. 0.63±0.23) and lower pulmonary artery </w:t>
      </w:r>
      <w:proofErr w:type="spellStart"/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pulsatility</w:t>
      </w:r>
      <w:proofErr w:type="spellEnd"/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index (1.23±0.78 vs. 1.89±1.8). ROC analysis revealed an AUC of 0.838 for in-hospital mortality with an optimal cutoff of ≥2 agents (B).</w:t>
      </w:r>
    </w:p>
    <w:p w:rsidR="00F64629" w:rsidRDefault="00D717A4" w:rsidP="00C93637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6462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Conclusion: </w:t>
      </w:r>
      <w:r w:rsidRPr="00F64629">
        <w:rPr>
          <w:rFonts w:asciiTheme="majorBidi" w:eastAsia="Times New Roman" w:hAnsiTheme="majorBidi" w:cstheme="majorBidi"/>
          <w:color w:val="000000"/>
          <w:sz w:val="24"/>
          <w:szCs w:val="24"/>
        </w:rPr>
        <w:t>Vasoactive agent usage prior to AMCS for CS is associated with impaired end-organ function, right heart dysfunction and increased mortality. The number of vasoactive agents serves as a simple metric of CS severity to identify patients at risk of clinical deterioration. </w:t>
      </w:r>
    </w:p>
    <w:p w:rsidR="00D717A4" w:rsidRPr="00F64629" w:rsidRDefault="00D717A4" w:rsidP="00F64629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hyperlink r:id="rId6" w:tgtFrame="_blank" w:history="1">
        <w:r w:rsidRPr="00F64629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br/>
        </w:r>
        <w:r w:rsidRPr="00F64629">
          <w:rPr>
            <w:rFonts w:asciiTheme="majorBidi" w:eastAsia="Times New Roman" w:hAnsiTheme="majorBidi" w:cstheme="majorBidi"/>
            <w:noProof/>
            <w:color w:val="0000FF"/>
            <w:sz w:val="24"/>
            <w:szCs w:val="24"/>
          </w:rPr>
          <w:drawing>
            <wp:inline distT="0" distB="0" distL="0" distR="0" wp14:anchorId="1C98282F" wp14:editId="144A5623">
              <wp:extent cx="4453200" cy="1994400"/>
              <wp:effectExtent l="0" t="0" r="5080" b="6350"/>
              <wp:docPr id="51" name="Picture 51" descr="https://files.abstractsonline.com/CTRL/67/9/835/23F/6A5/4BD/384/325/381/5FC/18B/85/g555_1.jpg?noCache=30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files.abstractsonline.com/CTRL/67/9/835/23F/6A5/4BD/384/325/381/5FC/18B/85/g555_1.jpg?noCache=30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3200" cy="19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p w:rsidR="00345DBB" w:rsidRPr="00F64629" w:rsidRDefault="00C4252F" w:rsidP="00F64629">
      <w:pPr>
        <w:rPr>
          <w:rFonts w:asciiTheme="majorBidi" w:hAnsiTheme="majorBidi" w:cstheme="majorBidi"/>
          <w:sz w:val="24"/>
          <w:szCs w:val="24"/>
        </w:rPr>
      </w:pPr>
    </w:p>
    <w:sectPr w:rsidR="00345DBB" w:rsidRPr="00F646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2F" w:rsidRDefault="00C4252F" w:rsidP="00F64629">
      <w:r>
        <w:separator/>
      </w:r>
    </w:p>
  </w:endnote>
  <w:endnote w:type="continuationSeparator" w:id="0">
    <w:p w:rsidR="00C4252F" w:rsidRDefault="00C4252F" w:rsidP="00F6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2F" w:rsidRDefault="00C4252F" w:rsidP="00F64629">
      <w:r>
        <w:separator/>
      </w:r>
    </w:p>
  </w:footnote>
  <w:footnote w:type="continuationSeparator" w:id="0">
    <w:p w:rsidR="00C4252F" w:rsidRDefault="00C4252F" w:rsidP="00F6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29" w:rsidRPr="00F64629" w:rsidRDefault="00F64629" w:rsidP="00F64629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F64629">
      <w:rPr>
        <w:rFonts w:asciiTheme="majorBidi" w:eastAsia="Times New Roman" w:hAnsiTheme="majorBidi" w:cstheme="majorBidi"/>
        <w:color w:val="000000"/>
        <w:sz w:val="24"/>
        <w:szCs w:val="24"/>
      </w:rPr>
      <w:t>18-A-555-IAC</w:t>
    </w:r>
  </w:p>
  <w:p w:rsidR="00F64629" w:rsidRPr="00F64629" w:rsidRDefault="00F64629" w:rsidP="00F64629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F64629">
      <w:rPr>
        <w:rFonts w:asciiTheme="majorBidi" w:eastAsia="Times New Roman" w:hAnsiTheme="majorBidi" w:cstheme="majorBidi"/>
        <w:color w:val="000000"/>
        <w:sz w:val="24"/>
        <w:szCs w:val="24"/>
      </w:rPr>
      <w:t>52. Mechanical Circulatory Support</w:t>
    </w:r>
  </w:p>
  <w:p w:rsidR="00F64629" w:rsidRDefault="00F64629">
    <w:pPr>
      <w:pStyle w:val="Header"/>
    </w:pPr>
  </w:p>
  <w:p w:rsidR="00F64629" w:rsidRDefault="00F64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A4"/>
    <w:rsid w:val="0030401F"/>
    <w:rsid w:val="008A10D5"/>
    <w:rsid w:val="00A128E1"/>
    <w:rsid w:val="00C4252F"/>
    <w:rsid w:val="00C93637"/>
    <w:rsid w:val="00D717A4"/>
    <w:rsid w:val="00E7251E"/>
    <w:rsid w:val="00F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D8C8"/>
  <w15:chartTrackingRefBased/>
  <w15:docId w15:val="{4D63AA72-26C0-4BF2-B5C0-C8B34DCC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29"/>
  </w:style>
  <w:style w:type="paragraph" w:styleId="Footer">
    <w:name w:val="footer"/>
    <w:basedOn w:val="Normal"/>
    <w:link w:val="FooterChar"/>
    <w:uiPriority w:val="99"/>
    <w:unhideWhenUsed/>
    <w:rsid w:val="00F6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29"/>
  </w:style>
  <w:style w:type="paragraph" w:styleId="ListParagraph">
    <w:name w:val="List Paragraph"/>
    <w:basedOn w:val="Normal"/>
    <w:uiPriority w:val="34"/>
    <w:qFormat/>
    <w:rsid w:val="00F6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67/9/835/23F/6A5/4BD/384/325/381/5FC/18B/85/g555_1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2018-05-30T09:02:00Z</dcterms:created>
  <dcterms:modified xsi:type="dcterms:W3CDTF">2018-05-30T09:07:00Z</dcterms:modified>
</cp:coreProperties>
</file>